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Права и обязанности заказчика</w:t>
      </w:r>
    </w:p>
    <w:p>
      <w:pPr>
        <w:pStyle w:val="Heading2"/>
      </w:pPr>
      <w:r>
        <w:t>Права заказчика</w:t>
      </w:r>
    </w:p>
    <w:p>
      <w:pPr>
        <w:pStyle w:val="ListBullet"/>
      </w:pPr>
      <w:r>
        <w:t>пользоваться услугами по сертификации продукции в пределах области аккредитации органа по сертификации;</w:t>
      </w:r>
    </w:p>
    <w:p>
      <w:pPr>
        <w:pStyle w:val="ListBullet"/>
      </w:pPr>
      <w:r>
        <w:t>пользоваться информацией об услугах органа по сертификации продукции;</w:t>
      </w:r>
    </w:p>
    <w:p>
      <w:pPr>
        <w:pStyle w:val="ListBullet"/>
      </w:pPr>
      <w:r>
        <w:t>требовать беспристрастного, достоверного и объективного проведения работ по сертификации;</w:t>
      </w:r>
    </w:p>
    <w:p>
      <w:pPr>
        <w:pStyle w:val="ListBullet"/>
      </w:pPr>
      <w:r>
        <w:t>требовать обеспечения конфиденциальности предоставленных сведений, составляющих коммерческую тайну;</w:t>
      </w:r>
    </w:p>
    <w:p>
      <w:pPr>
        <w:pStyle w:val="ListBullet"/>
      </w:pPr>
      <w:r>
        <w:t>получить сертификат соответствия на сертифицируемую продукцию при положительных результатах сертификации;</w:t>
      </w:r>
    </w:p>
    <w:p>
      <w:pPr>
        <w:pStyle w:val="ListBullet"/>
      </w:pPr>
      <w:r>
        <w:t>получить обоснованный ответ об отказе в сертификации в установленных случаях;</w:t>
      </w:r>
    </w:p>
    <w:p>
      <w:pPr>
        <w:pStyle w:val="ListBullet"/>
      </w:pPr>
      <w:r>
        <w:t>подавать возражения по вопросам сертификации в пределах области сертификации.</w:t>
      </w:r>
    </w:p>
    <w:p>
      <w:pPr>
        <w:pStyle w:val="Heading2"/>
      </w:pPr>
      <w:r>
        <w:t>Обязанности заказчика</w:t>
      </w:r>
    </w:p>
    <w:p>
      <w:pPr>
        <w:pStyle w:val="ListBullet"/>
      </w:pPr>
      <w:r>
        <w:t>соблюдать установленные правила сертификации, требования O‘z DSt ISO/IEC 17065:2015 и других применимых нормативно-правовых актов;</w:t>
      </w:r>
    </w:p>
    <w:p>
      <w:pPr>
        <w:pStyle w:val="ListBullet"/>
      </w:pPr>
      <w:r>
        <w:t>постоянно выполнять требования сертификации, включая внесение соответствующих изменений, доведённых органом по сертификации;</w:t>
      </w:r>
    </w:p>
    <w:p>
      <w:pPr>
        <w:pStyle w:val="ListBullet"/>
      </w:pPr>
      <w:r>
        <w:t>предоставлять достоверные документы, данные и сведения, необходимые для идентификации продукции и оценки её соответствия установленным требованиям, а также дополнительную информацию по запросу органа по сертификации;</w:t>
      </w:r>
    </w:p>
    <w:p>
      <w:pPr>
        <w:pStyle w:val="ListBullet"/>
      </w:pPr>
      <w:r>
        <w:t>нести ответственность за достоверность предоставленных сведений и соответствие документов законодательству Республики Узбекистан;</w:t>
      </w:r>
    </w:p>
    <w:p>
      <w:pPr>
        <w:pStyle w:val="ListBullet"/>
      </w:pPr>
      <w:r>
        <w:t>обеспечивать необходимые условия для отбора образцов (проб) в соответствии с требованиями действующих нормативных документов;</w:t>
      </w:r>
    </w:p>
    <w:p>
      <w:pPr>
        <w:pStyle w:val="ListBullet"/>
      </w:pPr>
      <w:r>
        <w:t>не использовать факт сертификации продукции способом, наносящим ущерб репутации органа по сертификации, и не делать вводящих в заблуждение или незаконных заявлений о сертификации своей продукции;</w:t>
      </w:r>
    </w:p>
    <w:p>
      <w:pPr>
        <w:pStyle w:val="ListBullet"/>
      </w:pPr>
      <w:r>
        <w:t>при ссылке на сертификацию продукции в документах, брошюрах, рекламных материалах и иных информационных средствах соблюдать требования органа по сертификации и применяемой схемы сертификации;</w:t>
      </w:r>
    </w:p>
    <w:p>
      <w:pPr>
        <w:pStyle w:val="ListBullet"/>
      </w:pPr>
      <w:r>
        <w:t>при применении знака соответствия соблюдать требования к его использованию и к информации о продукции;</w:t>
      </w:r>
    </w:p>
    <w:p>
      <w:pPr>
        <w:pStyle w:val="ListBullet"/>
      </w:pPr>
      <w:r>
        <w:t>при предоставлении копий документов о сертификации другим лицам воспроизводить их полностью либо в порядке, установленном схемой сертификации;</w:t>
      </w:r>
    </w:p>
    <w:p>
      <w:pPr>
        <w:pStyle w:val="ListBullet"/>
      </w:pPr>
      <w:r>
        <w:t>при приостановлении, отмене или прекращении сертификации прекратить использование рекламных материалов со ссылками на сертификацию и принять необходимые меры в отношении документов о сертификации;</w:t>
      </w:r>
    </w:p>
    <w:p>
      <w:pPr>
        <w:pStyle w:val="ListBullet"/>
      </w:pPr>
      <w:r>
        <w:t>вести учёт всех известных жалоб, предоставлять записи по запросу органа, принимать меры по жалобам и выявленным недостаткам и документировать действия;</w:t>
      </w:r>
    </w:p>
    <w:p>
      <w:pPr>
        <w:pStyle w:val="ListBullet"/>
      </w:pPr>
      <w:r>
        <w:t>незамедлительно уведомлять орган по сертификации об изменениях, влияющих на выполнение требований сертификации;</w:t>
      </w:r>
    </w:p>
    <w:p>
      <w:pPr>
        <w:pStyle w:val="ListBullet"/>
      </w:pPr>
      <w:r>
        <w:t>обеспечивать стабильность характеристик продукции, подтверждённых при сертификации;</w:t>
      </w:r>
    </w:p>
    <w:p>
      <w:pPr>
        <w:pStyle w:val="ListBullet"/>
      </w:pPr>
      <w:r>
        <w:t>реализовывать сертифицируемую продукцию только после получения сертификата соответствия;</w:t>
      </w:r>
    </w:p>
    <w:p>
      <w:pPr>
        <w:pStyle w:val="ListBullet"/>
      </w:pPr>
      <w:r>
        <w:t>соблюдать правила выпуска продукции в обращение вместе с копиями сертификата;</w:t>
      </w:r>
    </w:p>
    <w:p>
      <w:pPr>
        <w:pStyle w:val="ListBullet"/>
      </w:pPr>
      <w:r>
        <w:t>обеспечивать надлежащую транспортировку и хранение сертифицированной продукции при её реализации;</w:t>
      </w:r>
    </w:p>
    <w:p>
      <w:pPr>
        <w:pStyle w:val="ListBullet"/>
      </w:pPr>
      <w:r>
        <w:t>оплачивать расходы, связанные с работами по сертификации, независимо от их результатов;</w:t>
      </w:r>
    </w:p>
    <w:p>
      <w:pPr>
        <w:pStyle w:val="ListBullet"/>
      </w:pPr>
      <w:r>
        <w:t>принимать электронный счёт-фактуру по завершении работ;</w:t>
      </w:r>
    </w:p>
    <w:p>
      <w:pPr>
        <w:pStyle w:val="ListBullet"/>
      </w:pPr>
      <w:r>
        <w:t>самостоятельно осуществлять правовую охрану объектов интеллектуальной собственности;</w:t>
      </w:r>
    </w:p>
    <w:p>
      <w:pPr>
        <w:pStyle w:val="ListBullet"/>
      </w:pPr>
      <w:r>
        <w:t>принимать все необходимые меры для рассмотрения жалоб.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